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default"/>
          <w:b/>
          <w:bCs/>
          <w:sz w:val="36"/>
          <w:szCs w:val="36"/>
          <w:lang w:val="pt-BR"/>
        </w:rPr>
        <w:t>ZTE Formulário</w:t>
      </w:r>
      <w:r>
        <w:rPr>
          <w:rFonts w:hint="eastAsia"/>
          <w:b/>
          <w:bCs/>
          <w:sz w:val="36"/>
          <w:szCs w:val="36"/>
        </w:rPr>
        <w:t xml:space="preserve"> de </w:t>
      </w:r>
      <w:r>
        <w:rPr>
          <w:rFonts w:hint="default"/>
          <w:b/>
          <w:bCs/>
          <w:sz w:val="36"/>
          <w:szCs w:val="36"/>
          <w:lang w:val="pt-BR"/>
        </w:rPr>
        <w:t>V</w:t>
      </w:r>
      <w:r>
        <w:rPr>
          <w:rFonts w:hint="eastAsia"/>
          <w:b/>
          <w:bCs/>
          <w:sz w:val="36"/>
          <w:szCs w:val="36"/>
        </w:rPr>
        <w:t xml:space="preserve">ulnerabilidade de </w:t>
      </w:r>
      <w:r>
        <w:rPr>
          <w:rFonts w:hint="default"/>
          <w:b/>
          <w:bCs/>
          <w:sz w:val="36"/>
          <w:szCs w:val="36"/>
          <w:lang w:val="pt-BR"/>
        </w:rPr>
        <w:t>S</w:t>
      </w:r>
      <w:r>
        <w:rPr>
          <w:rFonts w:hint="eastAsia"/>
          <w:b/>
          <w:bCs/>
          <w:sz w:val="36"/>
          <w:szCs w:val="36"/>
        </w:rPr>
        <w:t>egurança</w:t>
      </w:r>
    </w:p>
    <w:bookmarkEnd w:id="0"/>
    <w:p>
      <w:pPr>
        <w:jc w:val="left"/>
      </w:pPr>
    </w:p>
    <w:p>
      <w:pPr>
        <w:jc w:val="left"/>
      </w:pPr>
      <w:r>
        <w:rPr>
          <w:rFonts w:hint="default"/>
        </w:rPr>
        <w:t>Para fazer uma triagem rápida do problema de segurança identificado, preencha a tabela abaixo corretamente:</w:t>
      </w:r>
    </w:p>
    <w:p>
      <w:pPr>
        <w:ind w:firstLine="420" w:firstLineChars="200"/>
        <w:jc w:val="left"/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492"/>
        <w:gridCol w:w="5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554" w:type="dxa"/>
            <w:vMerge w:val="restart"/>
          </w:tcPr>
          <w:p>
            <w:pPr>
              <w:pStyle w:val="7"/>
              <w:widowControl/>
              <w:spacing w:beforeAutospacing="0" w:afterAutospacing="0"/>
              <w:rPr>
                <w:rStyle w:val="11"/>
                <w:rFonts w:ascii="Microsoft YaHei" w:hAnsi="Microsoft YaHei" w:eastAsia="Microsoft YaHei" w:cs="Microsoft YaHei"/>
                <w:color w:val="000000"/>
                <w:shd w:val="clear" w:color="auto" w:fill="FFFFFF"/>
              </w:rPr>
            </w:pPr>
            <w:r>
              <w:rPr>
                <w:rFonts w:hint="eastAsia"/>
                <w:kern w:val="2"/>
                <w:sz w:val="21"/>
                <w:lang w:bidi="ar-SA"/>
              </w:rPr>
              <w:t>Informações do remetente</w:t>
            </w:r>
          </w:p>
        </w:tc>
        <w:tc>
          <w:tcPr>
            <w:tcW w:w="1492" w:type="dxa"/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Style w:val="11"/>
                <w:rFonts w:hint="default" w:ascii="Microsoft YaHei" w:hAnsi="Microsoft YaHei" w:eastAsia="Microsoft YaHei" w:cs="Microsoft YaHei"/>
                <w:color w:val="000000"/>
                <w:shd w:val="clear" w:color="auto" w:fill="FFFFFF"/>
                <w:lang w:val="pt-BR"/>
              </w:rPr>
            </w:pPr>
            <w:r>
              <w:rPr>
                <w:rStyle w:val="11"/>
                <w:rFonts w:hint="default" w:ascii="Times New Roman" w:hAnsi="Times New Roman" w:eastAsia="Microsoft YaHei" w:cs="Times New Roman"/>
                <w:color w:val="000000"/>
                <w:shd w:val="clear" w:color="auto" w:fill="FFFFFF"/>
                <w:lang w:val="pt-BR"/>
              </w:rPr>
              <w:t>Nome</w:t>
            </w:r>
          </w:p>
        </w:tc>
        <w:tc>
          <w:tcPr>
            <w:tcW w:w="5476" w:type="dxa"/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Style w:val="11"/>
                <w:rFonts w:ascii="Microsoft YaHei" w:hAnsi="Microsoft YaHei" w:eastAsia="Microsoft YaHei" w:cs="Microsoft YaHei"/>
                <w:color w:val="000000"/>
                <w:sz w:val="25"/>
                <w:szCs w:val="2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554" w:type="dxa"/>
            <w:vMerge w:val="continue"/>
          </w:tcPr>
          <w:p>
            <w:pPr>
              <w:pStyle w:val="7"/>
              <w:widowControl/>
              <w:spacing w:beforeAutospacing="0" w:afterAutospacing="0"/>
              <w:rPr>
                <w:rStyle w:val="11"/>
                <w:rFonts w:ascii="Microsoft YaHei" w:hAnsi="Microsoft YaHei" w:eastAsia="Microsoft YaHei" w:cs="Microsoft YaHei"/>
                <w:color w:val="000000"/>
                <w:shd w:val="clear" w:color="auto" w:fill="FFFFFF"/>
              </w:rPr>
            </w:pPr>
          </w:p>
        </w:tc>
        <w:tc>
          <w:tcPr>
            <w:tcW w:w="1492" w:type="dxa"/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Style w:val="11"/>
                <w:rFonts w:hint="default" w:ascii="Microsoft YaHei" w:hAnsi="Microsoft YaHei" w:eastAsia="Microsoft YaHei" w:cs="Microsoft YaHei"/>
                <w:color w:val="000000"/>
                <w:shd w:val="clear" w:color="auto" w:fill="FFFFFF"/>
                <w:lang w:val="pt-BR"/>
              </w:rPr>
            </w:pPr>
            <w:r>
              <w:rPr>
                <w:rFonts w:hint="eastAsia"/>
                <w:b/>
                <w:bCs/>
                <w:kern w:val="2"/>
                <w:sz w:val="21"/>
                <w:lang w:bidi="ar-SA"/>
              </w:rPr>
              <w:t>Uni</w:t>
            </w:r>
            <w:r>
              <w:rPr>
                <w:rFonts w:hint="default"/>
                <w:b/>
                <w:bCs/>
                <w:kern w:val="2"/>
                <w:sz w:val="21"/>
                <w:lang w:val="pt-BR" w:bidi="ar-SA"/>
              </w:rPr>
              <w:t>dade/Equipe</w:t>
            </w:r>
          </w:p>
        </w:tc>
        <w:tc>
          <w:tcPr>
            <w:tcW w:w="5476" w:type="dxa"/>
            <w:vAlign w:val="center"/>
          </w:tcPr>
          <w:p>
            <w:pPr>
              <w:pStyle w:val="7"/>
              <w:widowControl/>
              <w:spacing w:beforeAutospacing="0" w:afterAutospacing="0"/>
              <w:jc w:val="center"/>
              <w:rPr>
                <w:rStyle w:val="11"/>
                <w:rFonts w:ascii="Microsoft YaHei" w:hAnsi="Microsoft YaHei" w:eastAsia="Microsoft YaHei" w:cs="Microsoft YaHei"/>
                <w:color w:val="000000"/>
                <w:sz w:val="25"/>
                <w:szCs w:val="25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Merge w:val="restart"/>
          </w:tcPr>
          <w:p>
            <w:pPr>
              <w:pStyle w:val="7"/>
              <w:widowControl/>
              <w:spacing w:beforeAutospacing="0" w:afterAutospacing="0"/>
              <w:rPr>
                <w:rStyle w:val="11"/>
                <w:rFonts w:hint="default" w:ascii="Microsoft YaHei" w:hAnsi="Microsoft YaHei" w:eastAsia="Microsoft YaHei" w:cs="Microsoft YaHei"/>
                <w:color w:val="000000"/>
                <w:shd w:val="clear" w:color="auto" w:fill="FFFFFF"/>
                <w:lang w:val="pt-BR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pt-BR" w:bidi="ar-SA"/>
              </w:rPr>
              <w:t xml:space="preserve">Informação da </w:t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pt-BR" w:bidi="ar-SA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pt-BR" w:bidi="ar-SA"/>
              </w:rPr>
              <w:t>vulnerabilidade</w:t>
            </w:r>
          </w:p>
        </w:tc>
        <w:tc>
          <w:tcPr>
            <w:tcW w:w="6968" w:type="dxa"/>
            <w:gridSpan w:val="2"/>
          </w:tcPr>
          <w:p>
            <w:pPr>
              <w:pStyle w:val="7"/>
              <w:widowControl/>
              <w:spacing w:beforeAutospacing="0" w:afterAutospacing="0"/>
              <w:rPr>
                <w:rFonts w:eastAsia="Microsoft YaHei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default" w:eastAsia="Microsoft YaHei"/>
                <w:b/>
                <w:bCs/>
                <w:color w:val="000000"/>
                <w:shd w:val="clear" w:color="auto" w:fill="FFFFFF"/>
                <w:lang w:val="pt-BR"/>
              </w:rPr>
              <w:t>Descrição da vulnerabilidade</w:t>
            </w:r>
            <w:r>
              <w:rPr>
                <w:rFonts w:eastAsia="Microsoft YaHei"/>
                <w:b/>
                <w:bCs/>
                <w:color w:val="000000"/>
                <w:shd w:val="clear" w:color="auto" w:fill="FFFFFF"/>
              </w:rPr>
              <w:t xml:space="preserve"> (</w:t>
            </w:r>
            <w:r>
              <w:rPr>
                <w:rFonts w:hint="default" w:eastAsia="Microsoft YaHei"/>
                <w:b/>
                <w:bCs/>
                <w:color w:val="FF0000"/>
                <w:shd w:val="clear" w:color="auto" w:fill="FFFFFF"/>
                <w:lang w:val="pt-BR"/>
              </w:rPr>
              <w:t>Obrigatório</w:t>
            </w:r>
            <w:r>
              <w:rPr>
                <w:rFonts w:eastAsia="Microsoft YaHei"/>
                <w:b/>
                <w:bCs/>
                <w:color w:val="000000"/>
                <w:shd w:val="clear" w:color="auto" w:fill="FFFFFF"/>
              </w:rPr>
              <w:t>)</w:t>
            </w:r>
          </w:p>
          <w:p>
            <w:pPr>
              <w:pStyle w:val="7"/>
              <w:widowControl/>
              <w:spacing w:beforeAutospacing="0" w:afterAutospacing="0"/>
              <w:rPr>
                <w:rFonts w:ascii="Microsoft YaHei" w:hAnsi="Microsoft YaHei" w:eastAsia="Microsoft YaHei" w:cs="Microsoft YaHei"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i/>
                <w:iCs/>
                <w:kern w:val="2"/>
                <w:sz w:val="21"/>
                <w:lang w:bidi="ar-SA"/>
              </w:rPr>
              <w:t>Especifique o tipo de vulnerabilidade, a causa, o método de exploração e o risco potencial.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554" w:type="dxa"/>
            <w:vMerge w:val="continue"/>
          </w:tcPr>
          <w:p>
            <w:pPr>
              <w:pStyle w:val="7"/>
              <w:widowControl/>
              <w:spacing w:beforeAutospacing="0" w:afterAutospacing="0"/>
              <w:rPr>
                <w:rStyle w:val="11"/>
                <w:rFonts w:ascii="Microsoft YaHei" w:hAnsi="Microsoft YaHei" w:eastAsia="Microsoft YaHei" w:cs="Microsoft YaHei"/>
                <w:b w:val="0"/>
                <w:bCs/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6968" w:type="dxa"/>
            <w:gridSpan w:val="2"/>
          </w:tcPr>
          <w:p>
            <w:pPr>
              <w:pStyle w:val="7"/>
              <w:widowControl/>
              <w:spacing w:beforeAutospacing="0" w:afterAutospacing="0"/>
              <w:rPr>
                <w:rStyle w:val="11"/>
                <w:rFonts w:ascii="Microsoft YaHei" w:hAnsi="Microsoft YaHei" w:eastAsia="Microsoft YaHei" w:cs="Microsoft YaHei"/>
                <w:b w:val="0"/>
                <w:bCs/>
                <w:color w:val="FF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Merge w:val="continue"/>
          </w:tcPr>
          <w:p>
            <w:pPr>
              <w:pStyle w:val="7"/>
              <w:widowControl/>
              <w:spacing w:beforeAutospacing="0" w:afterAutospacing="0"/>
              <w:rPr>
                <w:rStyle w:val="11"/>
                <w:rFonts w:ascii="Microsoft YaHei" w:hAnsi="Microsoft YaHei" w:eastAsia="Microsoft YaHei" w:cs="Microsoft YaHei"/>
                <w:b w:val="0"/>
                <w:bCs/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6968" w:type="dxa"/>
            <w:gridSpan w:val="2"/>
          </w:tcPr>
          <w:p>
            <w:pPr>
              <w:pStyle w:val="7"/>
              <w:widowControl/>
              <w:spacing w:beforeAutospacing="0" w:afterAutospacing="0"/>
              <w:rPr>
                <w:rFonts w:eastAsia="Microsoft YaHei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default" w:eastAsia="Microsoft YaHei"/>
                <w:b/>
                <w:bCs/>
                <w:color w:val="000000"/>
                <w:shd w:val="clear" w:color="auto" w:fill="FFFFFF"/>
                <w:lang w:val="pt-BR"/>
              </w:rPr>
              <w:t>Produtos Afetados</w:t>
            </w:r>
            <w:r>
              <w:rPr>
                <w:rFonts w:hint="eastAsia" w:eastAsia="Microsoft YaHei"/>
                <w:b/>
                <w:bCs/>
                <w:color w:val="000000"/>
                <w:shd w:val="clear" w:color="auto" w:fill="FFFFFF"/>
              </w:rPr>
              <w:t xml:space="preserve"> (</w:t>
            </w:r>
            <w:r>
              <w:rPr>
                <w:rFonts w:hint="default" w:eastAsia="Microsoft YaHei"/>
                <w:b/>
                <w:bCs/>
                <w:color w:val="FF0000"/>
                <w:shd w:val="clear" w:color="auto" w:fill="FFFFFF"/>
                <w:lang w:val="pt-BR"/>
              </w:rPr>
              <w:t>Obrigatório</w:t>
            </w:r>
            <w:r>
              <w:rPr>
                <w:rFonts w:hint="eastAsia" w:eastAsia="Microsoft YaHei"/>
                <w:b/>
                <w:bCs/>
                <w:color w:val="000000"/>
                <w:shd w:val="clear" w:color="auto" w:fill="FFFFFF"/>
              </w:rPr>
              <w:t>)</w:t>
            </w:r>
          </w:p>
          <w:p>
            <w:pPr>
              <w:pStyle w:val="7"/>
              <w:widowControl/>
              <w:spacing w:beforeAutospacing="0" w:afterAutospacing="0"/>
              <w:rPr>
                <w:rFonts w:eastAsia="Microsoft YaHei"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/>
                <w:i/>
                <w:iCs/>
                <w:kern w:val="2"/>
                <w:sz w:val="21"/>
              </w:rPr>
              <w:t>Forneça o nome do produto, módulo, versão e localização específica da vulnerabilidade.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554" w:type="dxa"/>
            <w:vMerge w:val="continue"/>
          </w:tcPr>
          <w:p>
            <w:pPr>
              <w:pStyle w:val="7"/>
              <w:widowControl/>
              <w:spacing w:beforeAutospacing="0" w:afterAutospacing="0"/>
              <w:rPr>
                <w:rStyle w:val="11"/>
                <w:rFonts w:ascii="Microsoft YaHei" w:hAnsi="Microsoft YaHei" w:eastAsia="Microsoft YaHei" w:cs="Microsoft YaHei"/>
                <w:b w:val="0"/>
                <w:bCs/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6968" w:type="dxa"/>
            <w:gridSpan w:val="2"/>
          </w:tcPr>
          <w:p>
            <w:pPr>
              <w:pStyle w:val="7"/>
              <w:widowControl/>
              <w:spacing w:beforeAutospacing="0" w:afterAutospacing="0"/>
              <w:rPr>
                <w:rStyle w:val="11"/>
                <w:rFonts w:ascii="Microsoft YaHei" w:hAnsi="Microsoft YaHei" w:eastAsia="Microsoft YaHei" w:cs="Microsoft YaHei"/>
                <w:color w:val="FF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Merge w:val="continue"/>
          </w:tcPr>
          <w:p>
            <w:pPr>
              <w:pStyle w:val="7"/>
              <w:widowControl/>
              <w:spacing w:beforeAutospacing="0" w:afterAutospacing="0"/>
              <w:rPr>
                <w:rStyle w:val="11"/>
                <w:rFonts w:ascii="Microsoft YaHei" w:hAnsi="Microsoft YaHei" w:eastAsia="Microsoft YaHei" w:cs="Microsoft YaHei"/>
                <w:b w:val="0"/>
                <w:bCs/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6968" w:type="dxa"/>
            <w:gridSpan w:val="2"/>
          </w:tcPr>
          <w:p>
            <w:pPr>
              <w:pStyle w:val="7"/>
              <w:widowControl/>
              <w:spacing w:beforeAutospacing="0" w:afterAutospacing="0"/>
              <w:rPr>
                <w:rFonts w:ascii="Microsoft YaHei" w:hAnsi="Microsoft YaHei" w:eastAsia="Microsoft YaHei" w:cs="Microsoft YaHei"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eastAsia="Microsoft YaHei"/>
                <w:b/>
                <w:bCs/>
                <w:color w:val="000000"/>
                <w:shd w:val="clear" w:color="auto" w:fill="FFFFFF"/>
              </w:rPr>
              <w:t>Classificação de vulnerabilidade</w:t>
            </w:r>
            <w:r>
              <w:rPr>
                <w:rFonts w:eastAsia="Microsoft YaHei"/>
                <w:b/>
                <w:bCs/>
                <w:color w:val="000000"/>
                <w:shd w:val="clear" w:color="auto" w:fill="FFFFFF"/>
              </w:rPr>
              <w:t xml:space="preserve"> (</w:t>
            </w:r>
            <w:r>
              <w:rPr>
                <w:rFonts w:hint="default" w:eastAsia="Microsoft YaHei"/>
                <w:b/>
                <w:bCs/>
                <w:color w:val="FF0000"/>
                <w:shd w:val="clear" w:color="auto" w:fill="FFFFFF"/>
                <w:lang w:val="pt-BR"/>
              </w:rPr>
              <w:t>Obrigatório</w:t>
            </w:r>
            <w:r>
              <w:rPr>
                <w:rFonts w:eastAsia="Microsoft YaHei"/>
                <w:b/>
                <w:bCs/>
                <w:color w:val="000000"/>
                <w:shd w:val="clear" w:color="auto" w:fill="FFFFFF"/>
              </w:rPr>
              <w:t>)</w:t>
            </w:r>
            <w:r>
              <w:rPr>
                <w:rFonts w:eastAsia="Microsoft YaHei"/>
                <w:b/>
                <w:bCs/>
                <w:color w:val="000000"/>
                <w:sz w:val="21"/>
                <w:szCs w:val="21"/>
                <w:shd w:val="clear" w:color="auto" w:fill="FFFFFF"/>
              </w:rPr>
              <w:br w:type="textWrapping"/>
            </w:r>
            <w:r>
              <w:rPr>
                <w:rFonts w:hint="default"/>
                <w:i/>
                <w:iCs/>
                <w:kern w:val="2"/>
                <w:sz w:val="21"/>
                <w:lang w:bidi="ar-SA"/>
              </w:rPr>
              <w:t>Forneça informações detalhadas sobre a classificação CVSS de acordo com sua avaliação, que pode ser uma captura de tela ou uma descrição de texto.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Merge w:val="continue"/>
          </w:tcPr>
          <w:p>
            <w:pPr>
              <w:pStyle w:val="7"/>
              <w:widowControl/>
              <w:spacing w:beforeAutospacing="0" w:afterAutospacing="0"/>
              <w:rPr>
                <w:rStyle w:val="11"/>
                <w:rFonts w:ascii="Microsoft YaHei" w:hAnsi="Microsoft YaHei" w:eastAsia="Microsoft YaHei" w:cs="Microsoft YaHei"/>
                <w:b w:val="0"/>
                <w:bCs/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6968" w:type="dxa"/>
            <w:gridSpan w:val="2"/>
          </w:tcPr>
          <w:p>
            <w:pPr>
              <w:pStyle w:val="7"/>
              <w:widowControl/>
              <w:spacing w:beforeAutospacing="0" w:afterAutospacing="0"/>
              <w:rPr>
                <w:rFonts w:hint="default"/>
                <w:kern w:val="2"/>
                <w:sz w:val="21"/>
                <w:lang w:val="pt-BR" w:bidi="ar-SA"/>
              </w:rPr>
            </w:pPr>
            <w:r>
              <w:rPr>
                <w:rFonts w:hint="default"/>
                <w:kern w:val="2"/>
                <w:sz w:val="21"/>
                <w:lang w:val="pt-BR" w:bidi="ar-SA"/>
              </w:rPr>
              <w:t>Classificação da vulnerabilidade</w:t>
            </w:r>
            <w:r>
              <w:rPr>
                <w:rFonts w:hint="eastAsia"/>
                <w:kern w:val="2"/>
                <w:sz w:val="21"/>
                <w:lang w:bidi="ar-SA"/>
              </w:rPr>
              <w:t>:</w:t>
            </w:r>
            <w:r>
              <w:rPr>
                <w:kern w:val="2"/>
                <w:sz w:val="21"/>
                <w:lang w:bidi="ar-SA"/>
              </w:rPr>
              <w:t xml:space="preserve"> </w:t>
            </w:r>
            <w:r>
              <w:rPr>
                <w:rFonts w:hint="eastAsia"/>
                <w:kern w:val="2"/>
                <w:sz w:val="21"/>
                <w:lang w:bidi="ar-SA"/>
              </w:rPr>
              <w:sym w:font="Wingdings" w:char="00A8"/>
            </w:r>
            <w:r>
              <w:rPr>
                <w:rFonts w:hint="eastAsia"/>
                <w:kern w:val="2"/>
                <w:sz w:val="21"/>
                <w:lang w:bidi="ar-SA"/>
              </w:rPr>
              <w:t xml:space="preserve"> Cr</w:t>
            </w:r>
            <w:r>
              <w:rPr>
                <w:rFonts w:hint="default"/>
                <w:kern w:val="2"/>
                <w:sz w:val="21"/>
                <w:lang w:val="pt-BR" w:bidi="ar-SA"/>
              </w:rPr>
              <w:t>ítica</w:t>
            </w:r>
            <w:r>
              <w:rPr>
                <w:rFonts w:hint="eastAsia"/>
                <w:kern w:val="2"/>
                <w:sz w:val="21"/>
                <w:lang w:bidi="ar-SA"/>
              </w:rPr>
              <w:t xml:space="preserve">  </w:t>
            </w:r>
            <w:r>
              <w:rPr>
                <w:rFonts w:hint="eastAsia"/>
                <w:kern w:val="2"/>
                <w:sz w:val="21"/>
                <w:lang w:bidi="ar-SA"/>
              </w:rPr>
              <w:sym w:font="Wingdings" w:char="00A8"/>
            </w:r>
            <w:r>
              <w:rPr>
                <w:rFonts w:hint="eastAsia"/>
                <w:kern w:val="2"/>
                <w:sz w:val="21"/>
                <w:lang w:bidi="ar-SA"/>
              </w:rPr>
              <w:t xml:space="preserve"> </w:t>
            </w:r>
            <w:r>
              <w:rPr>
                <w:rFonts w:hint="default"/>
                <w:kern w:val="2"/>
                <w:sz w:val="21"/>
                <w:lang w:val="pt-BR" w:bidi="ar-SA"/>
              </w:rPr>
              <w:t>Alta</w:t>
            </w:r>
            <w:r>
              <w:rPr>
                <w:rFonts w:hint="eastAsia"/>
                <w:kern w:val="2"/>
                <w:sz w:val="21"/>
                <w:lang w:bidi="ar-SA"/>
              </w:rPr>
              <w:t xml:space="preserve">  </w:t>
            </w:r>
            <w:r>
              <w:rPr>
                <w:rFonts w:hint="eastAsia"/>
                <w:kern w:val="2"/>
                <w:sz w:val="21"/>
                <w:lang w:bidi="ar-SA"/>
              </w:rPr>
              <w:sym w:font="Wingdings" w:char="00A8"/>
            </w:r>
            <w:r>
              <w:rPr>
                <w:rFonts w:hint="eastAsia"/>
                <w:kern w:val="2"/>
                <w:sz w:val="21"/>
                <w:lang w:bidi="ar-SA"/>
              </w:rPr>
              <w:t xml:space="preserve"> </w:t>
            </w:r>
            <w:r>
              <w:rPr>
                <w:rFonts w:hint="default"/>
                <w:kern w:val="2"/>
                <w:sz w:val="21"/>
                <w:lang w:val="pt-BR" w:bidi="ar-SA"/>
              </w:rPr>
              <w:t>Média</w:t>
            </w:r>
            <w:r>
              <w:rPr>
                <w:rFonts w:hint="eastAsia"/>
                <w:kern w:val="2"/>
                <w:sz w:val="21"/>
                <w:lang w:bidi="ar-SA"/>
              </w:rPr>
              <w:t xml:space="preserve">  </w:t>
            </w:r>
            <w:r>
              <w:rPr>
                <w:rFonts w:hint="eastAsia"/>
                <w:kern w:val="2"/>
                <w:sz w:val="21"/>
                <w:lang w:bidi="ar-SA"/>
              </w:rPr>
              <w:sym w:font="Wingdings" w:char="00A8"/>
            </w:r>
            <w:r>
              <w:rPr>
                <w:rFonts w:hint="eastAsia"/>
                <w:kern w:val="2"/>
                <w:sz w:val="21"/>
                <w:lang w:bidi="ar-SA"/>
              </w:rPr>
              <w:t xml:space="preserve"> </w:t>
            </w:r>
            <w:r>
              <w:rPr>
                <w:rFonts w:hint="default"/>
                <w:kern w:val="2"/>
                <w:sz w:val="21"/>
                <w:lang w:val="pt-BR" w:bidi="ar-SA"/>
              </w:rPr>
              <w:t>Baixa</w:t>
            </w:r>
          </w:p>
          <w:p>
            <w:pPr>
              <w:pStyle w:val="7"/>
              <w:widowControl/>
              <w:spacing w:beforeAutospacing="0" w:afterAutospacing="0"/>
              <w:rPr>
                <w:rStyle w:val="11"/>
                <w:rFonts w:ascii="Microsoft YaHei" w:hAnsi="Microsoft YaHei" w:eastAsia="Microsoft YaHei" w:cs="Microsoft YaHei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hint="default"/>
                <w:kern w:val="2"/>
                <w:sz w:val="21"/>
                <w:lang w:val="pt-BR" w:bidi="ar-SA"/>
              </w:rPr>
              <w:t>Pontuação CVSS</w:t>
            </w:r>
            <w:r>
              <w:rPr>
                <w:rFonts w:hint="eastAsia"/>
                <w:kern w:val="2"/>
                <w:sz w:val="21"/>
                <w:lang w:bidi="ar-SA"/>
              </w:rPr>
              <w:t>:</w:t>
            </w:r>
            <w:r>
              <w:rPr>
                <w:kern w:val="2"/>
                <w:sz w:val="21"/>
                <w:lang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Merge w:val="continue"/>
          </w:tcPr>
          <w:p>
            <w:pPr>
              <w:pStyle w:val="7"/>
              <w:widowControl/>
              <w:spacing w:beforeAutospacing="0" w:afterAutospacing="0"/>
              <w:rPr>
                <w:rStyle w:val="11"/>
                <w:rFonts w:ascii="Microsoft YaHei" w:hAnsi="Microsoft YaHei" w:eastAsia="Microsoft YaHei" w:cs="Microsoft YaHei"/>
                <w:b w:val="0"/>
                <w:bCs/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6968" w:type="dxa"/>
            <w:gridSpan w:val="2"/>
          </w:tcPr>
          <w:p>
            <w:pPr>
              <w:pStyle w:val="7"/>
              <w:widowControl/>
              <w:spacing w:beforeAutospacing="0" w:afterAutospacing="0"/>
              <w:rPr>
                <w:rFonts w:eastAsia="Microsoft YaHei"/>
                <w:b/>
                <w:bCs/>
                <w:color w:val="000000"/>
                <w:shd w:val="clear" w:color="auto" w:fill="FFFFFF"/>
              </w:rPr>
            </w:pPr>
            <w:r>
              <w:rPr>
                <w:rFonts w:hint="eastAsia" w:eastAsia="Microsoft YaHei"/>
                <w:b/>
                <w:bCs/>
                <w:color w:val="000000"/>
                <w:shd w:val="clear" w:color="auto" w:fill="FFFFFF"/>
              </w:rPr>
              <w:t xml:space="preserve">Descrição do </w:t>
            </w:r>
            <w:r>
              <w:rPr>
                <w:rFonts w:hint="default" w:eastAsia="Microsoft YaHei"/>
                <w:b/>
                <w:bCs/>
                <w:color w:val="000000"/>
                <w:shd w:val="clear" w:color="auto" w:fill="FFFFFF"/>
                <w:lang w:val="pt-BR"/>
              </w:rPr>
              <w:t>P</w:t>
            </w:r>
            <w:r>
              <w:rPr>
                <w:rFonts w:hint="eastAsia" w:eastAsia="Microsoft YaHei"/>
                <w:b/>
                <w:bCs/>
                <w:color w:val="000000"/>
                <w:shd w:val="clear" w:color="auto" w:fill="FFFFFF"/>
              </w:rPr>
              <w:t xml:space="preserve">rocesso de </w:t>
            </w:r>
            <w:r>
              <w:rPr>
                <w:rFonts w:hint="default" w:eastAsia="Microsoft YaHei"/>
                <w:b/>
                <w:bCs/>
                <w:color w:val="000000"/>
                <w:shd w:val="clear" w:color="auto" w:fill="FFFFFF"/>
                <w:lang w:val="pt-BR"/>
              </w:rPr>
              <w:t>R</w:t>
            </w:r>
            <w:r>
              <w:rPr>
                <w:rFonts w:hint="eastAsia" w:eastAsia="Microsoft YaHei"/>
                <w:b/>
                <w:bCs/>
                <w:color w:val="000000"/>
                <w:shd w:val="clear" w:color="auto" w:fill="FFFFFF"/>
              </w:rPr>
              <w:t xml:space="preserve">eprodução de </w:t>
            </w:r>
            <w:r>
              <w:rPr>
                <w:rFonts w:hint="default" w:eastAsia="Microsoft YaHei"/>
                <w:b/>
                <w:bCs/>
                <w:color w:val="000000"/>
                <w:shd w:val="clear" w:color="auto" w:fill="FFFFFF"/>
                <w:lang w:val="pt-BR"/>
              </w:rPr>
              <w:t>D</w:t>
            </w:r>
            <w:r>
              <w:rPr>
                <w:rFonts w:hint="eastAsia" w:eastAsia="Microsoft YaHei"/>
                <w:b/>
                <w:bCs/>
                <w:color w:val="000000"/>
                <w:shd w:val="clear" w:color="auto" w:fill="FFFFFF"/>
              </w:rPr>
              <w:t>ulnerabilidades (</w:t>
            </w:r>
            <w:r>
              <w:rPr>
                <w:rFonts w:hint="default" w:eastAsia="Microsoft YaHei"/>
                <w:b/>
                <w:bCs/>
                <w:color w:val="FF0000"/>
                <w:shd w:val="clear" w:color="auto" w:fill="FFFFFF"/>
                <w:lang w:val="pt-BR"/>
              </w:rPr>
              <w:t>Obrigatório</w:t>
            </w:r>
            <w:r>
              <w:rPr>
                <w:rFonts w:hint="eastAsia" w:eastAsia="Microsoft YaHei"/>
                <w:b/>
                <w:bCs/>
                <w:color w:val="000000"/>
                <w:shd w:val="clear" w:color="auto" w:fill="FFFFFF"/>
              </w:rPr>
              <w:t>)</w:t>
            </w:r>
          </w:p>
          <w:p>
            <w:pPr>
              <w:pStyle w:val="7"/>
              <w:widowControl/>
              <w:spacing w:beforeAutospacing="0" w:afterAutospacing="0"/>
              <w:rPr>
                <w:i/>
                <w:iCs/>
                <w:kern w:val="2"/>
                <w:sz w:val="21"/>
                <w:lang w:bidi="ar-SA"/>
              </w:rPr>
            </w:pPr>
            <w:r>
              <w:rPr>
                <w:rFonts w:hint="eastAsia"/>
                <w:i/>
                <w:iCs/>
                <w:kern w:val="2"/>
                <w:sz w:val="21"/>
                <w:lang w:bidi="ar-SA"/>
              </w:rPr>
              <w:t>Descreva as etapas detalhadas necessárias para reproduzir a vulnerabilidade usando textos, capturas de tela, gráficos, etc. (recomendamos enviar um vídeo de reprodução da vulnerabilidade). Se você puder fornecer um POC, envie-o também para nós.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554" w:type="dxa"/>
            <w:vMerge w:val="continue"/>
          </w:tcPr>
          <w:p>
            <w:pPr>
              <w:pStyle w:val="7"/>
              <w:widowControl/>
              <w:spacing w:beforeAutospacing="0" w:afterAutospacing="0"/>
              <w:rPr>
                <w:rStyle w:val="11"/>
                <w:rFonts w:ascii="Microsoft YaHei" w:hAnsi="Microsoft YaHei" w:eastAsia="Microsoft YaHei" w:cs="Microsoft YaHei"/>
                <w:b w:val="0"/>
                <w:bCs/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6968" w:type="dxa"/>
            <w:gridSpan w:val="2"/>
          </w:tcPr>
          <w:p>
            <w:pPr>
              <w:pStyle w:val="7"/>
              <w:widowControl/>
              <w:spacing w:beforeAutospacing="0" w:afterAutospacing="0"/>
              <w:rPr>
                <w:rStyle w:val="11"/>
                <w:rFonts w:ascii="Microsoft YaHei" w:hAnsi="Microsoft YaHei" w:eastAsia="Microsoft YaHei" w:cs="Microsoft YaHei"/>
                <w:color w:val="FF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4" w:type="dxa"/>
            <w:vMerge w:val="continue"/>
          </w:tcPr>
          <w:p>
            <w:pPr>
              <w:pStyle w:val="7"/>
              <w:widowControl/>
              <w:spacing w:beforeAutospacing="0" w:afterAutospacing="0"/>
              <w:rPr>
                <w:rStyle w:val="11"/>
                <w:rFonts w:ascii="Microsoft YaHei" w:hAnsi="Microsoft YaHei" w:eastAsia="Microsoft YaHei" w:cs="Microsoft YaHei"/>
                <w:b w:val="0"/>
                <w:bCs/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6968" w:type="dxa"/>
            <w:gridSpan w:val="2"/>
          </w:tcPr>
          <w:p>
            <w:pPr>
              <w:pStyle w:val="7"/>
              <w:widowControl/>
              <w:spacing w:beforeAutospacing="0" w:afterAutospacing="0"/>
              <w:rPr>
                <w:rFonts w:ascii="Microsoft YaHei" w:hAnsi="Microsoft YaHei" w:eastAsia="Microsoft YaHei" w:cs="Microsoft YaHei"/>
                <w:i/>
                <w:iCs/>
                <w:sz w:val="21"/>
                <w:szCs w:val="21"/>
                <w:shd w:val="clear" w:color="auto" w:fill="FFFFFF"/>
              </w:rPr>
            </w:pPr>
            <w:r>
              <w:rPr>
                <w:rFonts w:hint="default" w:eastAsia="Microsoft YaHei"/>
                <w:b/>
                <w:bCs/>
                <w:color w:val="000000"/>
                <w:shd w:val="clear" w:color="auto" w:fill="FFFFFF"/>
              </w:rPr>
              <w:t xml:space="preserve">Cenários de </w:t>
            </w:r>
            <w:r>
              <w:rPr>
                <w:rFonts w:hint="default" w:eastAsia="Microsoft YaHei"/>
                <w:b/>
                <w:bCs/>
                <w:color w:val="000000"/>
                <w:shd w:val="clear" w:color="auto" w:fill="FFFFFF"/>
                <w:lang w:val="pt-BR"/>
              </w:rPr>
              <w:t>A</w:t>
            </w:r>
            <w:r>
              <w:rPr>
                <w:rFonts w:hint="default" w:eastAsia="Microsoft YaHei"/>
                <w:b/>
                <w:bCs/>
                <w:color w:val="000000"/>
                <w:shd w:val="clear" w:color="auto" w:fill="FFFFFF"/>
              </w:rPr>
              <w:t xml:space="preserve">taque de </w:t>
            </w:r>
            <w:r>
              <w:rPr>
                <w:rFonts w:hint="default" w:eastAsia="Microsoft YaHei"/>
                <w:b/>
                <w:bCs/>
                <w:color w:val="000000"/>
                <w:shd w:val="clear" w:color="auto" w:fill="FFFFFF"/>
                <w:lang w:val="pt-BR"/>
              </w:rPr>
              <w:t>V</w:t>
            </w:r>
            <w:r>
              <w:rPr>
                <w:rFonts w:hint="default" w:eastAsia="Microsoft YaHei"/>
                <w:b/>
                <w:bCs/>
                <w:color w:val="000000"/>
                <w:shd w:val="clear" w:color="auto" w:fill="FFFFFF"/>
              </w:rPr>
              <w:t>ulnerabilidade</w:t>
            </w:r>
            <w:r>
              <w:rPr>
                <w:rFonts w:hint="default" w:eastAsia="Microsoft YaHei"/>
                <w:b/>
                <w:bCs/>
                <w:color w:val="000000"/>
                <w:shd w:val="clear" w:color="auto" w:fill="FFFFFF"/>
              </w:rPr>
              <w:br w:type="textWrapping"/>
            </w:r>
            <w:r>
              <w:rPr>
                <w:rFonts w:hint="default"/>
                <w:i/>
                <w:iCs/>
                <w:kern w:val="2"/>
                <w:sz w:val="21"/>
                <w:lang w:bidi="ar-SA"/>
              </w:rPr>
              <w:t xml:space="preserve">Descreva como um invasor </w:t>
            </w:r>
            <w:r>
              <w:rPr>
                <w:rFonts w:hint="default"/>
                <w:i/>
                <w:iCs/>
                <w:kern w:val="2"/>
                <w:sz w:val="21"/>
                <w:lang w:val="pt-BR" w:bidi="ar-SA"/>
              </w:rPr>
              <w:t>possa explorar</w:t>
            </w:r>
            <w:r>
              <w:rPr>
                <w:rFonts w:hint="default"/>
                <w:i/>
                <w:iCs/>
                <w:kern w:val="2"/>
                <w:sz w:val="21"/>
                <w:lang w:bidi="ar-SA"/>
              </w:rPr>
              <w:t xml:space="preserve"> com êxito a vulnerabilidade, incluindo os pré-requisitos para o ataque, as condições de gatilho e se é necessária interação com a vítima.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554" w:type="dxa"/>
            <w:vMerge w:val="continue"/>
          </w:tcPr>
          <w:p>
            <w:pPr>
              <w:pStyle w:val="7"/>
              <w:widowControl/>
              <w:spacing w:beforeAutospacing="0" w:afterAutospacing="0"/>
              <w:rPr>
                <w:rStyle w:val="11"/>
                <w:rFonts w:ascii="Microsoft YaHei" w:hAnsi="Microsoft YaHei" w:eastAsia="Microsoft YaHei" w:cs="Microsoft YaHei"/>
                <w:b w:val="0"/>
                <w:bCs/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6968" w:type="dxa"/>
            <w:gridSpan w:val="2"/>
          </w:tcPr>
          <w:p>
            <w:pPr>
              <w:pStyle w:val="7"/>
              <w:widowControl/>
              <w:spacing w:beforeAutospacing="0" w:afterAutospacing="0"/>
              <w:rPr>
                <w:rStyle w:val="11"/>
                <w:rFonts w:ascii="Microsoft YaHei" w:hAnsi="Microsoft YaHei" w:eastAsia="Microsoft YaHei" w:cs="Microsoft YaHei"/>
                <w:color w:val="FF000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54" w:type="dxa"/>
            <w:vMerge w:val="continue"/>
          </w:tcPr>
          <w:p>
            <w:pPr>
              <w:pStyle w:val="7"/>
              <w:widowControl/>
              <w:spacing w:beforeAutospacing="0" w:afterAutospacing="0"/>
              <w:rPr>
                <w:rStyle w:val="11"/>
                <w:rFonts w:ascii="Microsoft YaHei" w:hAnsi="Microsoft YaHei" w:eastAsia="Microsoft YaHei" w:cs="Microsoft YaHei"/>
                <w:b w:val="0"/>
                <w:bCs/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6968" w:type="dxa"/>
            <w:gridSpan w:val="2"/>
          </w:tcPr>
          <w:p>
            <w:pPr>
              <w:pStyle w:val="7"/>
              <w:widowControl/>
              <w:spacing w:beforeAutospacing="0" w:afterAutospacing="0"/>
              <w:rPr>
                <w:rFonts w:ascii="Microsoft YaHei" w:hAnsi="Microsoft YaHei" w:eastAsia="Microsoft YaHei" w:cs="Microsoft YaHei"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default" w:eastAsia="Microsoft YaHei"/>
                <w:b/>
                <w:bCs/>
                <w:color w:val="000000"/>
                <w:shd w:val="clear" w:color="auto" w:fill="FFFFFF"/>
                <w:lang w:val="pt-BR"/>
              </w:rPr>
              <w:t>Sugestões de Mitigação</w:t>
            </w:r>
            <w:r>
              <w:rPr>
                <w:rFonts w:hint="default" w:eastAsia="Microsoft YaHei"/>
                <w:b/>
                <w:bCs/>
                <w:color w:val="000000"/>
                <w:shd w:val="clear" w:color="auto" w:fill="FFFFFF"/>
                <w:lang w:val="pt-BR"/>
              </w:rPr>
              <w:br w:type="textWrapping"/>
            </w:r>
            <w:r>
              <w:rPr>
                <w:rFonts w:hint="default"/>
                <w:i/>
                <w:iCs/>
                <w:kern w:val="2"/>
                <w:sz w:val="21"/>
                <w:lang w:val="pt-BR" w:bidi="ar-SA"/>
              </w:rPr>
              <w:t>Se</w:t>
            </w:r>
            <w:r>
              <w:rPr>
                <w:rFonts w:hint="default"/>
                <w:i/>
                <w:iCs/>
                <w:kern w:val="2"/>
                <w:sz w:val="21"/>
                <w:lang w:bidi="ar-SA"/>
              </w:rPr>
              <w:t xml:space="preserve"> você s</w:t>
            </w:r>
            <w:r>
              <w:rPr>
                <w:rFonts w:hint="default"/>
                <w:i/>
                <w:iCs/>
                <w:kern w:val="2"/>
                <w:sz w:val="21"/>
                <w:lang w:val="pt-BR" w:bidi="ar-SA"/>
              </w:rPr>
              <w:t>ouber</w:t>
            </w:r>
            <w:r>
              <w:rPr>
                <w:rFonts w:hint="default"/>
                <w:i/>
                <w:iCs/>
                <w:kern w:val="2"/>
                <w:sz w:val="21"/>
                <w:lang w:bidi="ar-SA"/>
              </w:rPr>
              <w:t xml:space="preserve"> como corrigir essa vulnerabilidade de segurança ou tenha visto as práticas recomendadas que podem nos ajudar a corrigir e resolver essa vulnerabilidade.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554" w:type="dxa"/>
            <w:vMerge w:val="continue"/>
          </w:tcPr>
          <w:p>
            <w:pPr>
              <w:pStyle w:val="7"/>
              <w:widowControl/>
              <w:spacing w:beforeAutospacing="0" w:afterAutospacing="0"/>
              <w:rPr>
                <w:rStyle w:val="11"/>
                <w:rFonts w:ascii="Microsoft YaHei" w:hAnsi="Microsoft YaHei" w:eastAsia="Microsoft YaHei" w:cs="Microsoft YaHei"/>
                <w:b w:val="0"/>
                <w:bCs/>
                <w:color w:val="00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6968" w:type="dxa"/>
            <w:gridSpan w:val="2"/>
          </w:tcPr>
          <w:p>
            <w:pPr>
              <w:pStyle w:val="7"/>
              <w:widowControl/>
              <w:spacing w:beforeAutospacing="0" w:afterAutospacing="0"/>
              <w:rPr>
                <w:rFonts w:ascii="Microsoft YaHei" w:hAnsi="Microsoft YaHei" w:eastAsia="Microsoft YaHei" w:cs="Microsoft YaHei"/>
                <w:b/>
                <w:color w:val="FF0000"/>
                <w:sz w:val="21"/>
                <w:szCs w:val="21"/>
                <w:shd w:val="clear" w:color="auto" w:fill="FFFFFF"/>
              </w:rPr>
            </w:pPr>
          </w:p>
        </w:tc>
      </w:tr>
    </w:tbl>
    <w:p>
      <w:pPr>
        <w:pStyle w:val="7"/>
        <w:widowControl/>
        <w:spacing w:beforeAutospacing="0" w:afterAutospacing="0"/>
        <w:rPr>
          <w:rStyle w:val="11"/>
          <w:rFonts w:eastAsia="Microsoft YaHei"/>
          <w:shd w:val="clear" w:color="auto" w:fill="FFFFFF"/>
        </w:rPr>
      </w:pPr>
      <w:r>
        <w:rPr>
          <w:rFonts w:hint="eastAsia"/>
          <w:b/>
          <w:bCs/>
          <w:color w:val="FF0000"/>
        </w:rPr>
        <w:t xml:space="preserve">Observações: </w:t>
      </w: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>Como as vulnerabilidades de segurança são informações confidenciais, sugerimos fortemente que você relate vulnerabilidades de segurança relacionadas à ZTE à ZTE PSIRT (psirt@zte.com.cn) e use nossa chave pública PGP para criptografar as informações confidenciais.</w:t>
      </w:r>
    </w:p>
    <w:p>
      <w:pPr>
        <w:pStyle w:val="7"/>
        <w:widowControl/>
        <w:spacing w:beforeAutospacing="0" w:afterAutospacing="0"/>
        <w:rPr>
          <w:rStyle w:val="11"/>
          <w:rFonts w:eastAsia="Microsoft YaHei"/>
          <w:shd w:val="clear" w:color="auto" w:fill="FFFFFF"/>
        </w:rPr>
      </w:pPr>
    </w:p>
    <w:p>
      <w:pPr>
        <w:jc w:val="left"/>
        <w:rPr>
          <w:rStyle w:val="11"/>
          <w:rFonts w:hint="default" w:ascii="Arial" w:hAnsi="Arial" w:eastAsia="Microsoft YaHei" w:cs="Arial"/>
          <w:sz w:val="21"/>
          <w:shd w:val="clear" w:color="auto" w:fill="FFFFFF"/>
        </w:rPr>
      </w:pPr>
      <w:r>
        <w:rPr>
          <w:rStyle w:val="11"/>
          <w:rFonts w:hint="default" w:ascii="Arial" w:hAnsi="Arial" w:eastAsia="Microsoft YaHei" w:cs="Arial"/>
          <w:sz w:val="21"/>
          <w:shd w:val="clear" w:color="auto" w:fill="FFFFFF"/>
        </w:rPr>
        <w:t>Requisitos de POC/exploração:</w:t>
      </w:r>
    </w:p>
    <w:p>
      <w:pPr>
        <w:jc w:val="left"/>
        <w:rPr>
          <w:rStyle w:val="11"/>
          <w:rFonts w:hint="default" w:ascii="Arial" w:hAnsi="Arial" w:eastAsia="Microsoft YaHei" w:cs="Arial"/>
          <w:b w:val="0"/>
          <w:bCs/>
          <w:sz w:val="18"/>
          <w:szCs w:val="18"/>
          <w:shd w:val="clear" w:color="auto" w:fill="FFFFFF"/>
        </w:rPr>
      </w:pPr>
      <w:r>
        <w:rPr>
          <w:rStyle w:val="11"/>
          <w:rFonts w:hint="default" w:ascii="Arial" w:hAnsi="Arial" w:eastAsia="Microsoft YaHei" w:cs="Arial"/>
          <w:b w:val="0"/>
          <w:bCs/>
          <w:sz w:val="18"/>
          <w:szCs w:val="18"/>
          <w:shd w:val="clear" w:color="auto" w:fill="FFFFFF"/>
        </w:rPr>
        <w:t>(1) Fornecer um POC ou Exploit completo, que pode ser usado para verificar com sucesso a vulnerabilidade relatada.</w:t>
      </w:r>
    </w:p>
    <w:p>
      <w:pPr>
        <w:jc w:val="left"/>
        <w:rPr>
          <w:rStyle w:val="11"/>
          <w:rFonts w:hint="default" w:ascii="Arial" w:hAnsi="Arial" w:eastAsia="Microsoft YaHei" w:cs="Arial"/>
          <w:b w:val="0"/>
          <w:bCs/>
          <w:sz w:val="18"/>
          <w:szCs w:val="18"/>
          <w:shd w:val="clear" w:color="auto" w:fill="FFFFFF"/>
        </w:rPr>
      </w:pPr>
      <w:r>
        <w:rPr>
          <w:rStyle w:val="11"/>
          <w:rFonts w:hint="default" w:ascii="Arial" w:hAnsi="Arial" w:eastAsia="Microsoft YaHei" w:cs="Arial"/>
          <w:b w:val="0"/>
          <w:bCs/>
          <w:sz w:val="18"/>
          <w:szCs w:val="18"/>
          <w:shd w:val="clear" w:color="auto" w:fill="FFFFFF"/>
        </w:rPr>
        <w:t>(2) Descrição do ambiente de compilação e execução, incluindo: nome do compilador, versão do compilador, opções de compilação, versão do sistema operacional e outras informações necessárias.</w:t>
      </w:r>
    </w:p>
    <w:p>
      <w:pPr>
        <w:jc w:val="left"/>
        <w:rPr>
          <w:rStyle w:val="11"/>
          <w:rFonts w:ascii="Arial" w:hAnsi="Arial" w:eastAsia="Microsoft YaHei" w:cs="Arial"/>
          <w:b w:val="0"/>
          <w:bCs/>
          <w:i/>
          <w:iCs/>
          <w:sz w:val="18"/>
          <w:szCs w:val="18"/>
          <w:shd w:val="clear" w:color="auto" w:fill="FFFFFF"/>
        </w:rPr>
      </w:pPr>
      <w:r>
        <w:rPr>
          <w:rStyle w:val="11"/>
          <w:rFonts w:hint="default" w:ascii="Arial" w:hAnsi="Arial" w:eastAsia="Microsoft YaHei" w:cs="Arial"/>
          <w:b w:val="0"/>
          <w:bCs/>
          <w:sz w:val="18"/>
          <w:szCs w:val="18"/>
          <w:shd w:val="clear" w:color="auto" w:fill="FFFFFF"/>
        </w:rPr>
        <w:t>(3) O resultado de execução do POC ou Exploit deve ser consistente com o descrito no seu relatório.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仿宋">
    <w:altName w:val="FangSong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FangSong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541" w:yAlign="top"/>
      <w:rPr>
        <w:rStyle w:val="10"/>
      </w:rPr>
    </w:pPr>
    <w:r>
      <w:rPr>
        <w:rStyle w:val="10"/>
        <w:rFonts w:hint="eastAsia"/>
      </w:rPr>
      <w:t>第</w:t>
    </w: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  <w:r>
      <w:rPr>
        <w:rStyle w:val="10"/>
        <w:rFonts w:hint="eastAsia"/>
      </w:rPr>
      <w:t>页</w:t>
    </w:r>
  </w:p>
  <w:p>
    <w:pPr>
      <w:pStyle w:val="5"/>
      <w:ind w:right="360"/>
      <w:jc w:val="both"/>
      <w:rPr>
        <w:rFonts w:ascii="SimSun" w:hAnsi="SimSun"/>
      </w:rPr>
    </w:pPr>
    <w:r>
      <w:t>&lt;</w:t>
    </w:r>
    <w:r>
      <w:rPr>
        <w:rFonts w:hint="eastAsia" w:hAnsi="SimSun"/>
      </w:rPr>
      <w:t>以上</w:t>
    </w:r>
    <w:r>
      <w:rPr>
        <w:rFonts w:hAnsi="SimSun"/>
      </w:rPr>
      <w:t>所有信息均为中兴通讯股份有限公司</w:t>
    </w:r>
    <w:r>
      <w:rPr>
        <w:rFonts w:hint="eastAsia" w:hAnsi="SimSun"/>
      </w:rPr>
      <w:t>所有</w:t>
    </w:r>
    <w:r>
      <w:rPr>
        <w:rFonts w:hAnsi="SimSun"/>
      </w:rPr>
      <w:t>，不</w:t>
    </w:r>
    <w:r>
      <w:rPr>
        <w:rFonts w:hint="eastAsia" w:hAnsi="SimSun"/>
      </w:rPr>
      <w:t>得</w:t>
    </w:r>
    <w:r>
      <w:rPr>
        <w:rFonts w:hAnsi="SimSun"/>
      </w:rPr>
      <w:t>外传</w:t>
    </w:r>
    <w:r>
      <w:t>&gt;</w:t>
    </w:r>
    <w:r>
      <w:rPr>
        <w:rFonts w:hint="eastAsia" w:ascii="SimSun" w:hAnsi="SimSu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distribute"/>
    </w:pPr>
    <w:r>
      <w:rPr>
        <w:rFonts w:cs="SimSun"/>
        <w:color w:val="000000"/>
        <w:kern w:val="0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-60960</wp:posOffset>
          </wp:positionH>
          <wp:positionV relativeFrom="paragraph">
            <wp:posOffset>278130</wp:posOffset>
          </wp:positionV>
          <wp:extent cx="5387975" cy="52070"/>
          <wp:effectExtent l="19050" t="0" r="3175" b="0"/>
          <wp:wrapTopAndBottom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7975" cy="52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inline distT="0" distB="0" distL="0" distR="0">
          <wp:extent cx="885825" cy="228600"/>
          <wp:effectExtent l="19050" t="0" r="9525" b="0"/>
          <wp:docPr id="1" name="图片 4" descr="未标题-9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未标题-9-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</w:t>
    </w:r>
    <w:r>
      <w:rPr>
        <w:rFonts w:hint="eastAsia" w:ascii="SimSun" w:hAnsi="SimSun" w:cs="仿宋_GB2312"/>
        <w:color w:val="000000"/>
        <w:kern w:val="0"/>
        <w:szCs w:val="21"/>
      </w:rPr>
      <w:t>内部</w:t>
    </w:r>
    <w:r>
      <w:rPr>
        <w:rFonts w:hint="eastAsia" w:ascii="SimSun" w:hAnsi="SimSun" w:cs="仿宋_GB2312"/>
        <w:color w:val="000000"/>
        <w:kern w:val="0"/>
        <w:szCs w:val="21"/>
        <w:lang w:eastAsia="zh-Hans"/>
      </w:rPr>
      <w:t>使用</w:t>
    </w:r>
    <w:r>
      <w:rPr>
        <w:rFonts w:hint="eastAsia"/>
        <w:color w:val="000000"/>
        <w:kern w:val="0"/>
        <w:szCs w:val="21"/>
      </w:rPr>
      <w:t>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C20BA"/>
    <w:rsid w:val="00092939"/>
    <w:rsid w:val="00126145"/>
    <w:rsid w:val="00133517"/>
    <w:rsid w:val="001767E6"/>
    <w:rsid w:val="00190A8D"/>
    <w:rsid w:val="001B21A1"/>
    <w:rsid w:val="00235BE5"/>
    <w:rsid w:val="00244D42"/>
    <w:rsid w:val="002C0B4D"/>
    <w:rsid w:val="002D35FA"/>
    <w:rsid w:val="00312C1A"/>
    <w:rsid w:val="00312DD1"/>
    <w:rsid w:val="003504B5"/>
    <w:rsid w:val="003F58F6"/>
    <w:rsid w:val="00413229"/>
    <w:rsid w:val="0046088D"/>
    <w:rsid w:val="004C54D5"/>
    <w:rsid w:val="00521248"/>
    <w:rsid w:val="00574EEC"/>
    <w:rsid w:val="005B52CF"/>
    <w:rsid w:val="005F56A6"/>
    <w:rsid w:val="00615CE1"/>
    <w:rsid w:val="00620346"/>
    <w:rsid w:val="00674249"/>
    <w:rsid w:val="00690BB8"/>
    <w:rsid w:val="006C60A2"/>
    <w:rsid w:val="006D7CA8"/>
    <w:rsid w:val="006F6A3E"/>
    <w:rsid w:val="00771468"/>
    <w:rsid w:val="00793203"/>
    <w:rsid w:val="007C33E4"/>
    <w:rsid w:val="007E771D"/>
    <w:rsid w:val="00971DDC"/>
    <w:rsid w:val="009A2152"/>
    <w:rsid w:val="009B19C8"/>
    <w:rsid w:val="009E748B"/>
    <w:rsid w:val="00A22250"/>
    <w:rsid w:val="00A83126"/>
    <w:rsid w:val="00A95088"/>
    <w:rsid w:val="00AC4276"/>
    <w:rsid w:val="00B12666"/>
    <w:rsid w:val="00B33389"/>
    <w:rsid w:val="00B86043"/>
    <w:rsid w:val="00C50168"/>
    <w:rsid w:val="00D73884"/>
    <w:rsid w:val="00DA12AB"/>
    <w:rsid w:val="00E153F6"/>
    <w:rsid w:val="00E42F2D"/>
    <w:rsid w:val="00E43842"/>
    <w:rsid w:val="00E943EE"/>
    <w:rsid w:val="00F20C01"/>
    <w:rsid w:val="00F8074E"/>
    <w:rsid w:val="00FF0AAD"/>
    <w:rsid w:val="015242CA"/>
    <w:rsid w:val="024A64B1"/>
    <w:rsid w:val="04267B2D"/>
    <w:rsid w:val="05B078D8"/>
    <w:rsid w:val="05F467D4"/>
    <w:rsid w:val="0CAE4FBC"/>
    <w:rsid w:val="136C7410"/>
    <w:rsid w:val="147F4680"/>
    <w:rsid w:val="29351101"/>
    <w:rsid w:val="2B1E0CB2"/>
    <w:rsid w:val="2B996587"/>
    <w:rsid w:val="2BC23F5F"/>
    <w:rsid w:val="2F925764"/>
    <w:rsid w:val="33183CBD"/>
    <w:rsid w:val="36857E34"/>
    <w:rsid w:val="3C41100B"/>
    <w:rsid w:val="3D332398"/>
    <w:rsid w:val="4305600E"/>
    <w:rsid w:val="431F1426"/>
    <w:rsid w:val="444C0791"/>
    <w:rsid w:val="44C70D28"/>
    <w:rsid w:val="497C4CBE"/>
    <w:rsid w:val="4A903298"/>
    <w:rsid w:val="4F1D1604"/>
    <w:rsid w:val="50342257"/>
    <w:rsid w:val="5A166E71"/>
    <w:rsid w:val="5BEB1E5A"/>
    <w:rsid w:val="5D597D53"/>
    <w:rsid w:val="5EB7471F"/>
    <w:rsid w:val="5FFB0D39"/>
    <w:rsid w:val="624B6282"/>
    <w:rsid w:val="62E73372"/>
    <w:rsid w:val="64DC20BA"/>
    <w:rsid w:val="654A2BA0"/>
    <w:rsid w:val="681858C6"/>
    <w:rsid w:val="69797C2C"/>
    <w:rsid w:val="6E1756DB"/>
    <w:rsid w:val="78663C24"/>
    <w:rsid w:val="7C965911"/>
    <w:rsid w:val="7FF65061"/>
    <w:rsid w:val="DB7B8E5A"/>
    <w:rsid w:val="F6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name="header"/>
    <w:lsdException w:qFormat="1"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basedOn w:val="8"/>
    <w:semiHidden/>
    <w:unhideWhenUsed/>
    <w:qFormat/>
    <w:uiPriority w:val="0"/>
    <w:rPr>
      <w:color w:val="0000FF"/>
      <w:u w:val="single"/>
    </w:rPr>
  </w:style>
  <w:style w:type="character" w:styleId="10">
    <w:name w:val="page number"/>
    <w:basedOn w:val="8"/>
    <w:semiHidden/>
    <w:qFormat/>
    <w:uiPriority w:val="0"/>
  </w:style>
  <w:style w:type="character" w:styleId="11">
    <w:name w:val="Strong"/>
    <w:basedOn w:val="8"/>
    <w:qFormat/>
    <w:uiPriority w:val="22"/>
    <w:rPr>
      <w:b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316</Words>
  <Characters>1807</Characters>
  <Lines>15</Lines>
  <Paragraphs>4</Paragraphs>
  <TotalTime>70</TotalTime>
  <ScaleCrop>false</ScaleCrop>
  <LinksUpToDate>false</LinksUpToDate>
  <CharactersWithSpaces>2119</CharactersWithSpaces>
  <Application>WPS Office_11.8.2.8426_F1E327BC-269C-435d-A152-05C5408002CA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2024-03-06T02:06:00Z</dcterms:created>
  <dc:creator>Administrator</dc:creator>
  <cp:lastModifiedBy>admzt</cp:lastModifiedBy>
  <dcterms:modified xsi:type="dcterms:W3CDTF">2024-04-24T17:57:30Z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1033-11.8.2.8426</vt:lpwstr>
  </property>
  <property fmtid="{D5CDD505-2E9C-101B-9397-08002B2CF9AE}" pid="3" name="ICV">
    <vt:lpwstr>236D576C3AF446B08BA00F247DB8A0F8</vt:lpwstr>
  </property>
</Properties>
</file>